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16705">
      <w:pPr>
        <w:rPr>
          <w:rFonts w:hint="eastAsia" w:ascii="仿宋_GB2312" w:hAnsi="仿宋_GB2312" w:eastAsia="仿宋_GB2312" w:cs="仿宋_GB2312"/>
          <w:sz w:val="32"/>
          <w:szCs w:val="32"/>
        </w:rPr>
      </w:pPr>
      <w:bookmarkStart w:id="5" w:name="_GoBack"/>
      <w:bookmarkEnd w:id="5"/>
      <w:r>
        <w:rPr>
          <w:rFonts w:hint="eastAsia" w:ascii="仿宋" w:hAnsi="仿宋" w:eastAsia="仿宋"/>
          <w:sz w:val="28"/>
          <w:szCs w:val="28"/>
        </w:rPr>
        <w:t>合同编号：</w:t>
      </w:r>
    </w:p>
    <w:p w14:paraId="4A4A2A32">
      <w:pPr>
        <w:jc w:val="center"/>
        <w:rPr>
          <w:rFonts w:ascii="黑体" w:eastAsia="黑体"/>
          <w:sz w:val="44"/>
          <w:szCs w:val="44"/>
        </w:rPr>
      </w:pPr>
    </w:p>
    <w:p w14:paraId="1A4191EA">
      <w:pPr>
        <w:jc w:val="center"/>
        <w:rPr>
          <w:rFonts w:ascii="黑体" w:eastAsia="黑体"/>
          <w:sz w:val="44"/>
          <w:szCs w:val="44"/>
        </w:rPr>
      </w:pPr>
    </w:p>
    <w:p w14:paraId="30672FB9">
      <w:pPr>
        <w:jc w:val="center"/>
        <w:rPr>
          <w:rFonts w:ascii="黑体" w:eastAsia="黑体"/>
          <w:b/>
          <w:bCs/>
          <w:sz w:val="48"/>
          <w:szCs w:val="48"/>
        </w:rPr>
      </w:pPr>
      <w:r>
        <w:rPr>
          <w:rFonts w:ascii="黑体" w:eastAsia="黑体"/>
          <w:b/>
          <w:bCs/>
          <w:sz w:val="48"/>
          <w:szCs w:val="48"/>
        </w:rPr>
        <w:t>202</w:t>
      </w:r>
      <w:r>
        <w:rPr>
          <w:rFonts w:hint="eastAsia" w:ascii="黑体" w:eastAsia="黑体"/>
          <w:b/>
          <w:bCs/>
          <w:sz w:val="48"/>
          <w:szCs w:val="48"/>
          <w:lang w:val="en-US" w:eastAsia="zh-CN"/>
        </w:rPr>
        <w:t>6</w:t>
      </w:r>
      <w:r>
        <w:rPr>
          <w:rFonts w:hint="eastAsia" w:ascii="黑体" w:eastAsia="黑体"/>
          <w:b/>
          <w:bCs/>
          <w:sz w:val="48"/>
          <w:szCs w:val="48"/>
        </w:rPr>
        <w:t>年度交通运输标准化工作管理服务</w:t>
      </w:r>
    </w:p>
    <w:p w14:paraId="019E94AB">
      <w:pPr>
        <w:jc w:val="center"/>
        <w:rPr>
          <w:rFonts w:ascii="黑体" w:eastAsia="黑体"/>
          <w:b/>
          <w:bCs/>
          <w:sz w:val="44"/>
          <w:szCs w:val="44"/>
        </w:rPr>
      </w:pPr>
    </w:p>
    <w:p w14:paraId="3BBA0A09">
      <w:pPr>
        <w:jc w:val="center"/>
        <w:rPr>
          <w:rFonts w:ascii="黑体" w:eastAsia="黑体"/>
          <w:b/>
          <w:bCs/>
          <w:sz w:val="52"/>
          <w:szCs w:val="52"/>
        </w:rPr>
      </w:pPr>
      <w:r>
        <w:rPr>
          <w:rFonts w:hint="eastAsia" w:ascii="黑体" w:eastAsia="黑体"/>
          <w:b/>
          <w:bCs/>
          <w:sz w:val="52"/>
          <w:szCs w:val="52"/>
        </w:rPr>
        <w:t>合 同 书</w:t>
      </w:r>
    </w:p>
    <w:p w14:paraId="6B1FD1A9">
      <w:pPr>
        <w:jc w:val="center"/>
        <w:rPr>
          <w:rFonts w:ascii="黑体" w:eastAsia="黑体"/>
          <w:sz w:val="44"/>
          <w:szCs w:val="44"/>
        </w:rPr>
      </w:pPr>
    </w:p>
    <w:p w14:paraId="3EBB3642">
      <w:pPr>
        <w:spacing w:line="480" w:lineRule="auto"/>
        <w:jc w:val="center"/>
        <w:rPr>
          <w:sz w:val="44"/>
        </w:rPr>
      </w:pPr>
    </w:p>
    <w:p w14:paraId="694AA778">
      <w:pPr>
        <w:spacing w:line="660" w:lineRule="auto"/>
        <w:ind w:firstLine="1440" w:firstLineChars="450"/>
        <w:rPr>
          <w:rFonts w:hint="eastAsia" w:ascii="黑体" w:hAnsi="黑体" w:eastAsia="黑体" w:cs="黑体"/>
          <w:sz w:val="32"/>
          <w:szCs w:val="32"/>
        </w:rPr>
      </w:pPr>
    </w:p>
    <w:p w14:paraId="38E219A7">
      <w:pPr>
        <w:pStyle w:val="2"/>
      </w:pPr>
    </w:p>
    <w:p w14:paraId="5D5C7EF2">
      <w:pPr>
        <w:spacing w:line="660" w:lineRule="auto"/>
        <w:ind w:firstLine="1440" w:firstLineChars="450"/>
        <w:rPr>
          <w:rFonts w:hint="eastAsia" w:ascii="黑体" w:hAnsi="黑体" w:eastAsia="黑体" w:cs="黑体"/>
          <w:sz w:val="32"/>
          <w:szCs w:val="32"/>
        </w:rPr>
      </w:pPr>
    </w:p>
    <w:p w14:paraId="627ACC2D">
      <w:pPr>
        <w:spacing w:line="660" w:lineRule="auto"/>
        <w:ind w:firstLine="1440" w:firstLineChars="450"/>
        <w:rPr>
          <w:rFonts w:hint="eastAsia" w:ascii="黑体" w:hAnsi="黑体" w:eastAsia="黑体" w:cs="黑体"/>
          <w:sz w:val="32"/>
          <w:szCs w:val="32"/>
        </w:rPr>
      </w:pPr>
    </w:p>
    <w:p w14:paraId="1F6B4AD2">
      <w:pPr>
        <w:pStyle w:val="2"/>
      </w:pPr>
    </w:p>
    <w:p w14:paraId="3951985B">
      <w:pPr>
        <w:pStyle w:val="2"/>
      </w:pPr>
    </w:p>
    <w:p w14:paraId="12C004F7">
      <w:pPr>
        <w:spacing w:line="660" w:lineRule="auto"/>
        <w:ind w:firstLine="1984" w:firstLineChars="620"/>
        <w:rPr>
          <w:rFonts w:hint="eastAsia" w:ascii="黑体" w:hAnsi="黑体" w:eastAsia="黑体" w:cs="黑体"/>
          <w:sz w:val="32"/>
          <w:szCs w:val="32"/>
        </w:rPr>
      </w:pPr>
      <w:r>
        <w:rPr>
          <w:rFonts w:hint="eastAsia" w:ascii="黑体" w:hAnsi="黑体" w:eastAsia="黑体" w:cs="黑体"/>
          <w:sz w:val="32"/>
          <w:szCs w:val="32"/>
        </w:rPr>
        <w:t>甲    方：陕西省交通运输厅</w:t>
      </w:r>
    </w:p>
    <w:p w14:paraId="6B8B347F">
      <w:pPr>
        <w:spacing w:line="660" w:lineRule="auto"/>
        <w:ind w:firstLine="1920" w:firstLineChars="600"/>
        <w:jc w:val="both"/>
        <w:rPr>
          <w:rFonts w:hint="default" w:ascii="黑体" w:hAnsi="黑体" w:eastAsia="黑体" w:cs="黑体"/>
          <w:sz w:val="32"/>
          <w:szCs w:val="32"/>
          <w:lang w:val="en-US" w:eastAsia="zh-CN"/>
        </w:rPr>
      </w:pPr>
      <w:r>
        <w:rPr>
          <w:rFonts w:hint="eastAsia" w:ascii="黑体" w:hAnsi="黑体" w:eastAsia="黑体" w:cs="黑体"/>
          <w:sz w:val="32"/>
          <w:szCs w:val="32"/>
        </w:rPr>
        <w:t>乙方（承担单位）：</w:t>
      </w:r>
      <w:r>
        <w:rPr>
          <w:rFonts w:hint="eastAsia" w:ascii="黑体" w:hAnsi="黑体" w:eastAsia="黑体" w:cs="黑体"/>
          <w:sz w:val="32"/>
          <w:szCs w:val="32"/>
          <w:lang w:val="en-US" w:eastAsia="zh-CN"/>
        </w:rPr>
        <w:t xml:space="preserve">    </w:t>
      </w:r>
    </w:p>
    <w:p w14:paraId="5669D1E3">
      <w:pPr>
        <w:spacing w:line="660" w:lineRule="auto"/>
        <w:ind w:firstLine="1984" w:firstLineChars="620"/>
        <w:rPr>
          <w:rFonts w:hint="eastAsia" w:ascii="黑体" w:hAnsi="黑体" w:eastAsia="黑体" w:cs="黑体"/>
          <w:sz w:val="32"/>
          <w:szCs w:val="32"/>
        </w:rPr>
      </w:pPr>
      <w:r>
        <w:rPr>
          <w:rFonts w:hint="eastAsia" w:ascii="黑体" w:hAnsi="黑体" w:eastAsia="黑体" w:cs="黑体"/>
          <w:sz w:val="32"/>
          <w:szCs w:val="32"/>
        </w:rPr>
        <w:t>起止年限：合同签订之日起一年内</w:t>
      </w:r>
    </w:p>
    <w:p w14:paraId="76EA0D80">
      <w:pPr>
        <w:jc w:val="center"/>
        <w:rPr>
          <w:sz w:val="28"/>
        </w:rPr>
      </w:pPr>
    </w:p>
    <w:p w14:paraId="0C14E9E1">
      <w:pPr>
        <w:spacing w:line="660" w:lineRule="auto"/>
        <w:jc w:val="center"/>
        <w:rPr>
          <w:rFonts w:hint="eastAsia" w:ascii="黑体" w:hAnsi="黑体" w:eastAsia="黑体" w:cs="黑体"/>
          <w:sz w:val="32"/>
          <w:szCs w:val="32"/>
        </w:rPr>
      </w:pPr>
      <w:r>
        <w:rPr>
          <w:rFonts w:hint="eastAsia" w:eastAsia="黑体"/>
          <w:sz w:val="32"/>
        </w:rPr>
        <w:t>陕西省交通运输厅  制</w:t>
      </w:r>
    </w:p>
    <w:p w14:paraId="195D1251">
      <w:pPr>
        <w:spacing w:line="660" w:lineRule="auto"/>
        <w:jc w:val="center"/>
        <w:rPr>
          <w:rFonts w:hint="eastAsia" w:ascii="黑体" w:hAnsi="黑体" w:eastAsia="黑体" w:cs="黑体"/>
          <w:sz w:val="32"/>
          <w:szCs w:val="32"/>
        </w:rPr>
        <w:sectPr>
          <w:footerReference r:id="rId5" w:type="default"/>
          <w:pgSz w:w="11906" w:h="16838"/>
          <w:pgMar w:top="1417" w:right="1417" w:bottom="1417" w:left="1417" w:header="850" w:footer="992" w:gutter="0"/>
          <w:cols w:space="0" w:num="1"/>
          <w:docGrid w:type="lines" w:linePitch="312" w:charSpace="0"/>
        </w:sectPr>
      </w:pPr>
    </w:p>
    <w:p w14:paraId="22945C09">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根据《中华人民共和国民法典》《中华人民共和国政府采购法》及国家有关法律和行政法规，遵循平等、自愿和诚实信用的原则，甲乙双方就 2026 年度交通运输标准化工作管理服务签订本合同。</w:t>
      </w:r>
    </w:p>
    <w:p w14:paraId="309B77FF">
      <w:pPr>
        <w:spacing w:line="560" w:lineRule="exact"/>
        <w:ind w:firstLine="640" w:firstLineChars="200"/>
        <w:rPr>
          <w:rFonts w:hint="eastAsia" w:ascii="黑体" w:hAnsi="黑体" w:eastAsia="黑体" w:cs="仿宋_GB2312"/>
          <w:bCs/>
          <w:sz w:val="32"/>
          <w:szCs w:val="32"/>
        </w:rPr>
      </w:pPr>
      <w:bookmarkStart w:id="0" w:name="_Toc28378"/>
      <w:r>
        <w:rPr>
          <w:rFonts w:hint="eastAsia" w:ascii="黑体" w:hAnsi="黑体" w:eastAsia="黑体" w:cs="仿宋_GB2312"/>
          <w:bCs/>
          <w:sz w:val="32"/>
          <w:szCs w:val="32"/>
        </w:rPr>
        <w:t>一、合同</w:t>
      </w:r>
      <w:bookmarkEnd w:id="0"/>
      <w:r>
        <w:rPr>
          <w:rFonts w:hint="eastAsia" w:ascii="黑体" w:hAnsi="黑体" w:eastAsia="黑体" w:cs="仿宋_GB2312"/>
          <w:bCs/>
          <w:sz w:val="32"/>
          <w:szCs w:val="32"/>
        </w:rPr>
        <w:t>的基本内容</w:t>
      </w:r>
    </w:p>
    <w:p w14:paraId="57574A5A">
      <w:pPr>
        <w:pStyle w:val="2"/>
        <w:ind w:firstLine="640" w:firstLineChars="200"/>
        <w:rPr>
          <w:rFonts w:hint="eastAsia" w:ascii="楷体" w:hAnsi="楷体" w:eastAsia="楷体" w:cs="仿宋_GB2312"/>
          <w:color w:val="auto"/>
          <w:sz w:val="32"/>
          <w:szCs w:val="32"/>
        </w:rPr>
      </w:pPr>
      <w:r>
        <w:rPr>
          <w:rFonts w:hint="eastAsia" w:ascii="楷体" w:hAnsi="楷体" w:eastAsia="楷体" w:cs="仿宋_GB2312"/>
          <w:color w:val="auto"/>
          <w:sz w:val="32"/>
          <w:szCs w:val="32"/>
        </w:rPr>
        <w:t>（一）合同内容</w:t>
      </w:r>
    </w:p>
    <w:p w14:paraId="6F62DCF6">
      <w:pPr>
        <w:ind w:firstLine="640" w:firstLineChars="200"/>
        <w:rPr>
          <w:rFonts w:hint="eastAsia" w:ascii="仿宋_GB2312" w:hAnsi="仿宋_GB2312" w:eastAsia="仿宋_GB2312" w:cs="仿宋_GB2312"/>
          <w:sz w:val="32"/>
          <w:szCs w:val="32"/>
        </w:rPr>
      </w:pPr>
      <w:bookmarkStart w:id="1" w:name="_Toc14968"/>
      <w:r>
        <w:rPr>
          <w:rFonts w:hint="eastAsia" w:ascii="仿宋_GB2312" w:hAnsi="仿宋_GB2312" w:eastAsia="仿宋_GB2312" w:cs="仿宋_GB2312"/>
          <w:sz w:val="32"/>
          <w:szCs w:val="32"/>
          <w:lang w:val="en-US" w:eastAsia="zh-CN"/>
        </w:rPr>
        <w:t>按照省厅安排，委托乙方对2026年度交通运输标准化工作管理服务进行规范性、专业性管理，推动陕西省交通运输标准化工作科学、可持续发展。主要内容：</w:t>
      </w:r>
    </w:p>
    <w:p w14:paraId="5F922F8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陕西省交通运输地方标准管理工作；</w:t>
      </w:r>
    </w:p>
    <w:p w14:paraId="269C7E5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国家标准、行业标准制修订管理工作；</w:t>
      </w:r>
    </w:p>
    <w:p w14:paraId="028622B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团体标准的指导、监督工作；</w:t>
      </w:r>
    </w:p>
    <w:p w14:paraId="1F5A516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标准考评工作；</w:t>
      </w:r>
    </w:p>
    <w:p w14:paraId="5FA29ED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其他相关标准化工作。</w:t>
      </w:r>
    </w:p>
    <w:p w14:paraId="79EE51F0">
      <w:pPr>
        <w:pStyle w:val="2"/>
        <w:ind w:firstLine="640" w:firstLineChars="200"/>
        <w:rPr>
          <w:rFonts w:hint="eastAsia" w:ascii="楷体" w:hAnsi="楷体" w:eastAsia="楷体" w:cs="仿宋_GB2312"/>
          <w:color w:val="auto"/>
          <w:sz w:val="32"/>
          <w:szCs w:val="32"/>
        </w:rPr>
      </w:pPr>
      <w:r>
        <w:rPr>
          <w:rFonts w:hint="eastAsia" w:ascii="楷体" w:hAnsi="楷体" w:eastAsia="楷体" w:cs="仿宋_GB2312"/>
          <w:color w:val="auto"/>
          <w:sz w:val="32"/>
          <w:szCs w:val="32"/>
        </w:rPr>
        <w:t>（二）成果提供形式</w:t>
      </w:r>
    </w:p>
    <w:p w14:paraId="46CA64C4">
      <w:pPr>
        <w:spacing w:line="48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年度交通运输标准化工作管理服务工作报告；</w:t>
      </w:r>
    </w:p>
    <w:p w14:paraId="5D88815A">
      <w:pPr>
        <w:spacing w:line="48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年陕西省地方标准全周期管理资料清单、审查资料；</w:t>
      </w:r>
    </w:p>
    <w:p w14:paraId="58D744D7">
      <w:pPr>
        <w:spacing w:line="48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年新标准宣贯资料</w:t>
      </w:r>
      <w:r>
        <w:rPr>
          <w:rFonts w:hint="eastAsia" w:ascii="仿宋_GB2312" w:hAnsi="仿宋_GB2312" w:eastAsia="仿宋_GB2312" w:cs="仿宋_GB2312"/>
          <w:sz w:val="32"/>
          <w:szCs w:val="32"/>
          <w:lang w:eastAsia="zh-CN"/>
        </w:rPr>
        <w:t>。</w:t>
      </w:r>
    </w:p>
    <w:p w14:paraId="1998B530">
      <w:pPr>
        <w:pStyle w:val="2"/>
        <w:ind w:firstLine="640" w:firstLineChars="200"/>
        <w:rPr>
          <w:rFonts w:hint="eastAsia" w:ascii="楷体" w:hAnsi="楷体" w:eastAsia="楷体" w:cs="仿宋_GB2312"/>
          <w:color w:val="auto"/>
          <w:sz w:val="32"/>
          <w:szCs w:val="32"/>
        </w:rPr>
      </w:pPr>
      <w:r>
        <w:rPr>
          <w:rFonts w:hint="eastAsia" w:ascii="楷体" w:hAnsi="楷体" w:eastAsia="楷体" w:cs="仿宋_GB2312"/>
          <w:color w:val="auto"/>
          <w:sz w:val="32"/>
          <w:szCs w:val="32"/>
        </w:rPr>
        <w:t>（三）服务期限和地点</w:t>
      </w:r>
    </w:p>
    <w:p w14:paraId="126BA41E">
      <w:pPr>
        <w:pStyle w:val="2"/>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1.服务期限：合同签订之日起一年内。</w:t>
      </w:r>
    </w:p>
    <w:p w14:paraId="4683D6C9">
      <w:pPr>
        <w:pStyle w:val="2"/>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2.服务地点：陕西省西安市。</w:t>
      </w:r>
    </w:p>
    <w:p w14:paraId="4AD3A639">
      <w:pPr>
        <w:pStyle w:val="2"/>
        <w:ind w:firstLine="640" w:firstLineChars="200"/>
        <w:rPr>
          <w:rFonts w:hint="eastAsia" w:ascii="黑体" w:hAnsi="黑体" w:eastAsia="黑体" w:cs="仿宋_GB2312"/>
          <w:color w:val="auto"/>
          <w:sz w:val="32"/>
          <w:szCs w:val="32"/>
        </w:rPr>
      </w:pPr>
      <w:r>
        <w:rPr>
          <w:rFonts w:hint="eastAsia" w:ascii="黑体" w:hAnsi="黑体" w:eastAsia="黑体" w:cs="仿宋_GB2312"/>
          <w:color w:val="auto"/>
          <w:sz w:val="32"/>
          <w:szCs w:val="32"/>
        </w:rPr>
        <w:t>二、工作条件和协作事项</w:t>
      </w:r>
      <w:bookmarkEnd w:id="1"/>
    </w:p>
    <w:p w14:paraId="349CC44E">
      <w:pPr>
        <w:spacing w:line="560" w:lineRule="exact"/>
        <w:ind w:firstLine="640" w:firstLineChars="200"/>
        <w:rPr>
          <w:rFonts w:hint="eastAsia" w:ascii="仿宋_GB2312" w:hAnsi="仿宋_GB2312" w:eastAsia="仿宋_GB2312" w:cs="仿宋_GB2312"/>
          <w:sz w:val="32"/>
          <w:szCs w:val="32"/>
        </w:rPr>
      </w:pPr>
      <w:bookmarkStart w:id="2" w:name="_Toc17114"/>
      <w:r>
        <w:rPr>
          <w:rFonts w:hint="eastAsia" w:ascii="仿宋_GB2312" w:hAnsi="仿宋_GB2312" w:eastAsia="仿宋_GB2312" w:cs="仿宋_GB2312"/>
          <w:sz w:val="32"/>
          <w:szCs w:val="32"/>
        </w:rPr>
        <w:t>甲方指派相应负责人与乙方进行日常工作沟通，做好相应协调工作。</w:t>
      </w:r>
    </w:p>
    <w:p w14:paraId="0A4F9C6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乙方负责组织开展交通运输标准化工作管理服务，按要求完成全部约定工作内容。</w:t>
      </w:r>
    </w:p>
    <w:p w14:paraId="5E5220E2">
      <w:pPr>
        <w:spacing w:line="560" w:lineRule="exact"/>
        <w:ind w:firstLine="640" w:firstLineChars="200"/>
        <w:rPr>
          <w:rFonts w:hint="eastAsia" w:ascii="黑体" w:hAnsi="黑体" w:eastAsia="黑体" w:cs="仿宋_GB2312"/>
          <w:sz w:val="32"/>
          <w:szCs w:val="32"/>
        </w:rPr>
      </w:pPr>
      <w:r>
        <w:rPr>
          <w:rFonts w:hint="eastAsia" w:ascii="黑体" w:hAnsi="黑体" w:eastAsia="黑体" w:cs="仿宋_GB2312"/>
          <w:sz w:val="32"/>
          <w:szCs w:val="32"/>
        </w:rPr>
        <w:t>三、合同费用和支付方式</w:t>
      </w:r>
      <w:bookmarkEnd w:id="2"/>
    </w:p>
    <w:p w14:paraId="195046DB">
      <w:pPr>
        <w:pStyle w:val="2"/>
        <w:ind w:firstLine="640" w:firstLineChars="200"/>
        <w:rPr>
          <w:rFonts w:hint="default" w:ascii="楷体" w:hAnsi="楷体" w:eastAsia="楷体" w:cs="仿宋_GB2312"/>
          <w:color w:val="auto"/>
          <w:sz w:val="32"/>
          <w:szCs w:val="32"/>
          <w:lang w:val="en-US" w:eastAsia="zh-CN"/>
        </w:rPr>
      </w:pPr>
      <w:r>
        <w:rPr>
          <w:rFonts w:hint="eastAsia" w:ascii="楷体" w:hAnsi="楷体" w:eastAsia="楷体" w:cs="仿宋_GB2312"/>
          <w:color w:val="auto"/>
          <w:sz w:val="32"/>
          <w:szCs w:val="32"/>
        </w:rPr>
        <w:t>（一）</w:t>
      </w:r>
      <w:r>
        <w:rPr>
          <w:rFonts w:hint="eastAsia" w:ascii="楷体" w:hAnsi="楷体" w:eastAsia="楷体" w:cs="仿宋_GB2312"/>
          <w:color w:val="auto"/>
          <w:sz w:val="32"/>
          <w:szCs w:val="32"/>
          <w:lang w:val="en-US" w:eastAsia="zh-CN"/>
        </w:rPr>
        <w:t>合同金额</w:t>
      </w:r>
    </w:p>
    <w:p w14:paraId="0FC4588B">
      <w:pPr>
        <w:spacing w:line="360" w:lineRule="auto"/>
        <w:ind w:firstLine="640" w:firstLineChars="200"/>
        <w:rPr>
          <w:rFonts w:hint="default" w:ascii="仿宋_GB2312" w:hAnsi="仿宋_GB2312" w:eastAsia="仿宋_GB2312" w:cs="仿宋_GB2312"/>
          <w:sz w:val="32"/>
          <w:szCs w:val="32"/>
          <w:u w:val="none"/>
          <w:lang w:val="en-US"/>
        </w:rPr>
      </w:pPr>
      <w:r>
        <w:rPr>
          <w:rFonts w:hint="eastAsia" w:ascii="仿宋_GB2312" w:hAnsi="仿宋_GB2312" w:eastAsia="仿宋_GB2312" w:cs="仿宋_GB2312"/>
          <w:sz w:val="32"/>
          <w:szCs w:val="32"/>
        </w:rPr>
        <w:t>本项目为固定总价合同，履行本合同约定服务所需的全部费用都包含在合同总价中。本合同含税总金额（小写）：</w:t>
      </w:r>
      <w:r>
        <w:rPr>
          <w:rFonts w:hint="eastAsia" w:ascii="仿宋_GB2312" w:hAnsi="仿宋_GB2312" w:eastAsia="仿宋_GB2312" w:cs="仿宋_GB2312"/>
          <w:sz w:val="32"/>
          <w:szCs w:val="32"/>
          <w:u w:val="single"/>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，大写：</w:t>
      </w:r>
      <w:r>
        <w:rPr>
          <w:rFonts w:hint="eastAsia" w:ascii="仿宋_GB2312" w:hAnsi="仿宋_GB2312" w:eastAsia="仿宋_GB2312" w:cs="仿宋_GB2312"/>
          <w:sz w:val="32"/>
          <w:szCs w:val="32"/>
          <w:u w:val="none"/>
          <w:lang w:val="en-US" w:eastAsia="zh-CN"/>
        </w:rPr>
        <w:t>人民币</w:t>
      </w:r>
      <w:r>
        <w:rPr>
          <w:rFonts w:hint="eastAsia" w:ascii="仿宋_GB2312" w:hAnsi="仿宋_GB2312" w:eastAsia="仿宋_GB2312" w:cs="仿宋_GB2312"/>
          <w:b/>
          <w:bCs/>
          <w:sz w:val="32"/>
          <w:szCs w:val="32"/>
          <w:u w:val="single"/>
          <w:lang w:val="en-US" w:eastAsia="zh-CN"/>
        </w:rPr>
        <w:t xml:space="preserve">         </w:t>
      </w:r>
      <w:r>
        <w:rPr>
          <w:rFonts w:hint="eastAsia" w:ascii="仿宋_GB2312" w:hAnsi="仿宋_GB2312" w:eastAsia="仿宋_GB2312" w:cs="仿宋_GB2312"/>
          <w:b/>
          <w:bCs/>
          <w:sz w:val="32"/>
          <w:szCs w:val="32"/>
          <w:u w:val="none"/>
          <w:lang w:val="en-US" w:eastAsia="zh-CN"/>
        </w:rPr>
        <w:t>。</w:t>
      </w:r>
    </w:p>
    <w:p w14:paraId="3E7002FE">
      <w:pPr>
        <w:pStyle w:val="2"/>
        <w:ind w:firstLine="640" w:firstLineChars="200"/>
        <w:rPr>
          <w:rFonts w:hint="eastAsia" w:ascii="楷体" w:hAnsi="楷体" w:eastAsia="楷体" w:cs="仿宋_GB2312"/>
          <w:color w:val="auto"/>
          <w:sz w:val="32"/>
          <w:szCs w:val="32"/>
          <w:lang w:val="en-US" w:eastAsia="zh-CN"/>
        </w:rPr>
      </w:pPr>
      <w:r>
        <w:rPr>
          <w:rFonts w:hint="eastAsia" w:ascii="楷体" w:hAnsi="楷体" w:eastAsia="楷体" w:cs="仿宋_GB2312"/>
          <w:color w:val="auto"/>
          <w:sz w:val="32"/>
          <w:szCs w:val="32"/>
          <w:lang w:val="en-US" w:eastAsia="zh-CN"/>
        </w:rPr>
        <w:t>（二）付款方式</w:t>
      </w:r>
    </w:p>
    <w:p w14:paraId="2EAF3CD5">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合同签订后，乙方开具符合甲方要求的全额增值税普通发票。甲方收到发票后30日内支付合同总金额</w:t>
      </w:r>
      <w:r>
        <w:rPr>
          <w:rFonts w:hint="eastAsia" w:ascii="仿宋_GB2312" w:hAnsi="仿宋_GB2312" w:eastAsia="仿宋_GB2312" w:cs="仿宋_GB2312"/>
          <w:sz w:val="32"/>
          <w:szCs w:val="32"/>
          <w:u w:val="single"/>
        </w:rPr>
        <w:t>80%</w:t>
      </w:r>
      <w:r>
        <w:rPr>
          <w:rFonts w:hint="eastAsia" w:ascii="仿宋_GB2312" w:hAnsi="仿宋_GB2312" w:eastAsia="仿宋_GB2312" w:cs="仿宋_GB2312"/>
          <w:sz w:val="32"/>
          <w:szCs w:val="32"/>
        </w:rPr>
        <w:t>，即</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；服务完成并通过甲方验收后30日内，甲方支付合同总金额 </w:t>
      </w:r>
      <w:r>
        <w:rPr>
          <w:rFonts w:hint="eastAsia" w:ascii="仿宋_GB2312" w:hAnsi="仿宋_GB2312" w:eastAsia="仿宋_GB2312" w:cs="仿宋_GB2312"/>
          <w:sz w:val="32"/>
          <w:szCs w:val="32"/>
          <w:u w:val="single"/>
        </w:rPr>
        <w:t>20%</w:t>
      </w:r>
      <w:r>
        <w:rPr>
          <w:rFonts w:hint="eastAsia" w:ascii="仿宋_GB2312" w:hAnsi="仿宋_GB2312" w:eastAsia="仿宋_GB2312" w:cs="仿宋_GB2312"/>
          <w:sz w:val="32"/>
          <w:szCs w:val="32"/>
        </w:rPr>
        <w:t>，即</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w:t>
      </w:r>
    </w:p>
    <w:p w14:paraId="6BBCBD00">
      <w:pPr>
        <w:spacing w:line="360" w:lineRule="auto"/>
        <w:ind w:firstLine="640" w:firstLineChars="200"/>
        <w:rPr>
          <w:rFonts w:hint="eastAsia" w:ascii="楷体" w:hAnsi="楷体" w:eastAsia="楷体" w:cs="仿宋_GB2312"/>
          <w:sz w:val="32"/>
          <w:szCs w:val="32"/>
        </w:rPr>
      </w:pPr>
      <w:r>
        <w:rPr>
          <w:rFonts w:hint="eastAsia" w:ascii="楷体" w:hAnsi="楷体" w:eastAsia="楷体" w:cs="仿宋_GB2312"/>
          <w:sz w:val="32"/>
          <w:szCs w:val="32"/>
        </w:rPr>
        <w:t>（三）乙方收款账户信息</w:t>
      </w:r>
    </w:p>
    <w:p w14:paraId="42ABAC59">
      <w:pPr>
        <w:spacing w:line="560" w:lineRule="exact"/>
        <w:ind w:firstLine="640" w:firstLineChars="200"/>
        <w:rPr>
          <w:rFonts w:hint="eastAsia" w:ascii="仿宋_GB2312" w:hAnsi="仿宋_GB2312" w:eastAsia="仿宋_GB2312" w:cs="仿宋_GB2312"/>
          <w:sz w:val="32"/>
          <w:szCs w:val="32"/>
          <w:lang w:eastAsia="zh-CN"/>
        </w:rPr>
      </w:pPr>
      <w:bookmarkStart w:id="3" w:name="_Toc30676"/>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lang w:val="en-US" w:eastAsia="zh-CN"/>
        </w:rPr>
        <w:t xml:space="preserve"> </w:t>
      </w:r>
    </w:p>
    <w:p w14:paraId="4EFFBC35">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税号：</w:t>
      </w:r>
      <w:r>
        <w:rPr>
          <w:rFonts w:hint="eastAsia" w:ascii="仿宋_GB2312" w:hAnsi="仿宋_GB2312" w:eastAsia="仿宋_GB2312" w:cs="仿宋_GB2312"/>
          <w:sz w:val="32"/>
          <w:szCs w:val="32"/>
          <w:lang w:val="en-US" w:eastAsia="zh-CN"/>
        </w:rPr>
        <w:t xml:space="preserve"> </w:t>
      </w:r>
    </w:p>
    <w:p w14:paraId="43E409FB">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单位地址：</w:t>
      </w:r>
      <w:r>
        <w:rPr>
          <w:rFonts w:hint="eastAsia" w:ascii="仿宋_GB2312" w:hAnsi="仿宋_GB2312" w:eastAsia="仿宋_GB2312" w:cs="仿宋_GB2312"/>
          <w:sz w:val="32"/>
          <w:szCs w:val="32"/>
          <w:lang w:val="en-US" w:eastAsia="zh-CN"/>
        </w:rPr>
        <w:t xml:space="preserve"> </w:t>
      </w:r>
    </w:p>
    <w:p w14:paraId="1E5FBC06">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lang w:val="en-US" w:eastAsia="zh-CN"/>
        </w:rPr>
        <w:t xml:space="preserve"> </w:t>
      </w:r>
    </w:p>
    <w:p w14:paraId="59BD03DA">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开户银行：</w:t>
      </w:r>
    </w:p>
    <w:p w14:paraId="43499B96">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银行账户：</w:t>
      </w:r>
      <w:r>
        <w:rPr>
          <w:rFonts w:hint="eastAsia" w:ascii="仿宋_GB2312" w:hAnsi="仿宋_GB2312" w:eastAsia="仿宋_GB2312" w:cs="仿宋_GB2312"/>
          <w:sz w:val="32"/>
          <w:szCs w:val="32"/>
          <w:lang w:val="en-US" w:eastAsia="zh-CN"/>
        </w:rPr>
        <w:t xml:space="preserve"> </w:t>
      </w:r>
    </w:p>
    <w:p w14:paraId="3059835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乙方保证上述账户信息真实、合法、有效，账户变更需提前 15 个工作日书面通知甲方并附变更后账户信息，否则由此造成的损失由乙方自行承担。</w:t>
      </w:r>
    </w:p>
    <w:p w14:paraId="79E297B7">
      <w:pPr>
        <w:spacing w:line="560" w:lineRule="exact"/>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四、验收</w:t>
      </w:r>
    </w:p>
    <w:p w14:paraId="1A864602">
      <w:pPr>
        <w:pStyle w:val="2"/>
        <w:ind w:firstLine="640" w:firstLineChars="200"/>
        <w:rPr>
          <w:rFonts w:hint="eastAsia" w:ascii="楷体" w:hAnsi="楷体" w:eastAsia="楷体" w:cs="仿宋_GB2312"/>
          <w:color w:val="auto"/>
          <w:sz w:val="32"/>
          <w:szCs w:val="32"/>
          <w:lang w:val="en-US" w:eastAsia="zh-CN"/>
        </w:rPr>
      </w:pPr>
      <w:r>
        <w:rPr>
          <w:rFonts w:hint="eastAsia" w:ascii="楷体" w:hAnsi="楷体" w:eastAsia="楷体" w:cs="仿宋_GB2312"/>
          <w:color w:val="auto"/>
          <w:sz w:val="32"/>
          <w:szCs w:val="32"/>
          <w:lang w:val="en-US" w:eastAsia="zh-CN"/>
        </w:rPr>
        <w:t>（一）验收申请</w:t>
      </w:r>
    </w:p>
    <w:p w14:paraId="7FCA8E05">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lang w:val="en-US" w:eastAsia="zh-CN"/>
        </w:rPr>
        <w:t>乙方完成合同约定全部内容后，向甲方提交年度交通运输标准化工作管理服务工作报告及项目实施全过程资料，成果资料须满足本合同约定及陕西省市场监督管理局、陕西省交通运输厅相关标准要求。</w:t>
      </w:r>
    </w:p>
    <w:p w14:paraId="3DCEDC4F">
      <w:pPr>
        <w:pStyle w:val="2"/>
        <w:ind w:firstLine="640" w:firstLineChars="200"/>
        <w:rPr>
          <w:rFonts w:hint="eastAsia" w:ascii="楷体" w:hAnsi="楷体" w:eastAsia="楷体" w:cs="仿宋_GB2312"/>
          <w:color w:val="auto"/>
          <w:sz w:val="32"/>
          <w:szCs w:val="32"/>
          <w:lang w:val="en-US" w:eastAsia="zh-CN"/>
        </w:rPr>
      </w:pPr>
      <w:r>
        <w:rPr>
          <w:rFonts w:hint="eastAsia" w:ascii="楷体" w:hAnsi="楷体" w:eastAsia="楷体" w:cs="仿宋_GB2312"/>
          <w:color w:val="auto"/>
          <w:sz w:val="32"/>
          <w:szCs w:val="32"/>
          <w:lang w:val="en-US" w:eastAsia="zh-CN"/>
        </w:rPr>
        <w:t>（二）验收组织</w:t>
      </w:r>
    </w:p>
    <w:p w14:paraId="66B355A4">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lang w:val="en-US" w:eastAsia="zh-CN"/>
        </w:rPr>
        <w:t>甲方组织验收。验收合格的，甲方填写项目验收单，并按约定支付剩余款项；验收不合格的，甲方书面通知乙方限期整改，整改费用及损失由乙方承担，整改后重新验收。</w:t>
      </w:r>
    </w:p>
    <w:p w14:paraId="42AB32D3">
      <w:pPr>
        <w:pStyle w:val="2"/>
        <w:ind w:firstLine="640" w:firstLineChars="200"/>
        <w:rPr>
          <w:rFonts w:hint="eastAsia" w:ascii="楷体" w:hAnsi="楷体" w:eastAsia="楷体" w:cs="仿宋_GB2312"/>
          <w:color w:val="auto"/>
          <w:sz w:val="32"/>
          <w:szCs w:val="32"/>
          <w:lang w:val="en-US" w:eastAsia="zh-CN"/>
        </w:rPr>
      </w:pPr>
      <w:r>
        <w:rPr>
          <w:rFonts w:hint="eastAsia" w:ascii="楷体" w:hAnsi="楷体" w:eastAsia="楷体" w:cs="仿宋_GB2312"/>
          <w:color w:val="auto"/>
          <w:sz w:val="32"/>
          <w:szCs w:val="32"/>
          <w:lang w:val="en-US" w:eastAsia="zh-CN"/>
        </w:rPr>
        <w:t>（三）验收依据</w:t>
      </w:r>
    </w:p>
    <w:p w14:paraId="25E8AB5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rPr>
        <w:t>本合同文本；</w:t>
      </w:r>
    </w:p>
    <w:p w14:paraId="36BB8EF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rPr>
        <w:t>陕西省交通运输标准化工作管理服务项目单一来源采购文件、响应文件；</w:t>
      </w:r>
    </w:p>
    <w:p w14:paraId="1082660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rPr>
        <w:t>国家及地方相应标准、规范。</w:t>
      </w:r>
    </w:p>
    <w:p w14:paraId="6A476466">
      <w:pPr>
        <w:spacing w:line="560"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五、解决合同纠纷的方式</w:t>
      </w:r>
    </w:p>
    <w:p w14:paraId="68BF4D32">
      <w:pPr>
        <w:spacing w:line="560" w:lineRule="exact"/>
        <w:ind w:firstLine="640" w:firstLineChars="200"/>
        <w:rPr>
          <w:rFonts w:ascii="宋体" w:hAnsi="宋体" w:eastAsia="宋体" w:cs="宋体"/>
          <w:sz w:val="24"/>
          <w:szCs w:val="24"/>
        </w:rPr>
      </w:pPr>
      <w:r>
        <w:rPr>
          <w:rFonts w:ascii="仿宋_GB2312" w:hAnsi="仿宋_GB2312" w:eastAsia="仿宋_GB2312" w:cs="仿宋_GB2312"/>
          <w:sz w:val="32"/>
          <w:szCs w:val="32"/>
        </w:rPr>
        <w:t>本合同履行过程中发生的争议，双方优先通过和解或调解解决；和解或调解不成的，任何一方均有权向</w:t>
      </w:r>
      <w:r>
        <w:rPr>
          <w:rFonts w:ascii="仿宋_GB2312" w:hAnsi="仿宋_GB2312" w:eastAsia="仿宋_GB2312" w:cs="仿宋_GB2312"/>
          <w:b/>
          <w:bCs/>
          <w:sz w:val="32"/>
          <w:szCs w:val="32"/>
        </w:rPr>
        <w:t>甲方所在地有管辖权的人民法院</w:t>
      </w:r>
      <w:r>
        <w:rPr>
          <w:rFonts w:ascii="仿宋_GB2312" w:hAnsi="仿宋_GB2312" w:eastAsia="仿宋_GB2312" w:cs="仿宋_GB2312"/>
          <w:sz w:val="32"/>
          <w:szCs w:val="32"/>
        </w:rPr>
        <w:t>提起诉讼</w:t>
      </w:r>
      <w:r>
        <w:rPr>
          <w:rFonts w:ascii="宋体" w:hAnsi="宋体" w:eastAsia="宋体" w:cs="宋体"/>
          <w:sz w:val="24"/>
          <w:szCs w:val="24"/>
        </w:rPr>
        <w:t>。</w:t>
      </w:r>
    </w:p>
    <w:p w14:paraId="67575E34">
      <w:pPr>
        <w:spacing w:line="560"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六、违约责任</w:t>
      </w:r>
    </w:p>
    <w:p w14:paraId="0ED6CC08">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依据《中华人民共和国民法典》《中华人民共和国政府采购法》《中华人民共和国政府采购法实施条例》及本合同约定，乙方未全面履行合同义务或违约的，甲方有权终止合同、依法索赔，并报请政府采购监督管理机关处理；甲方违约的，赔偿乙方因此造成的经济损失。</w:t>
      </w:r>
    </w:p>
    <w:p w14:paraId="4949DC7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因乙方违约导致合同解除的，乙方须退还已收款项，并承担违约责任及甲方维权费用（包括诉讼费、律师费、保全费、鉴定费、评估费、公证费、差旅费等）。</w:t>
      </w:r>
    </w:p>
    <w:p w14:paraId="556AFBE8">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乙方保证服务成果不侵犯第三方合法权益，否则承担全部责任及甲方损失。</w:t>
      </w:r>
    </w:p>
    <w:p w14:paraId="6DCE1E3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因省财政年度预算拨款等政策要求，甲方向乙方支付全部合同价款不视为履约结束，乙方仍须完成全部工作内容，否则视为严重失信行为。</w:t>
      </w:r>
    </w:p>
    <w:p w14:paraId="751D359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乙方对工作中知悉的甲方技术资料、商业秘密及未公开信息承担保密义务，本合同解除或终止不免除该保密义务</w:t>
      </w:r>
    </w:p>
    <w:p w14:paraId="2A475443">
      <w:pPr>
        <w:spacing w:line="560"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七、其他</w:t>
      </w:r>
    </w:p>
    <w:bookmarkEnd w:id="3"/>
    <w:p w14:paraId="0957695B">
      <w:pPr>
        <w:spacing w:line="560" w:lineRule="exact"/>
        <w:ind w:firstLine="640" w:firstLineChars="200"/>
        <w:rPr>
          <w:rFonts w:ascii="仿宋_GB2312" w:hAnsi="仿宋_GB2312" w:eastAsia="仿宋_GB2312" w:cs="仿宋_GB2312"/>
          <w:sz w:val="32"/>
          <w:szCs w:val="32"/>
        </w:rPr>
      </w:pPr>
      <w:bookmarkStart w:id="4" w:name="_Toc14210"/>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本合同未尽事宜，由双方协商一致后签订补充协议，补充协议与本合同具有同等法律效力。</w:t>
      </w:r>
    </w:p>
    <w:p w14:paraId="26C9E8C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合同经双方法定代表人（负责人）或授权代表签字并加盖单位公章之日起生效，履行完毕后终止。</w:t>
      </w:r>
    </w:p>
    <w:p w14:paraId="0B6BEBB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本合同一式</w:t>
      </w:r>
      <w:r>
        <w:rPr>
          <w:rFonts w:hint="eastAsia" w:ascii="仿宋_GB2312" w:hAnsi="仿宋_GB2312" w:eastAsia="仿宋_GB2312" w:cs="仿宋_GB2312"/>
          <w:sz w:val="32"/>
          <w:szCs w:val="32"/>
          <w:u w:val="single"/>
          <w:lang w:val="en-US" w:eastAsia="zh-CN"/>
        </w:rPr>
        <w:t>捌</w:t>
      </w:r>
      <w:r>
        <w:rPr>
          <w:rFonts w:ascii="仿宋_GB2312" w:hAnsi="仿宋_GB2312" w:eastAsia="仿宋_GB2312" w:cs="仿宋_GB2312"/>
          <w:sz w:val="32"/>
          <w:szCs w:val="32"/>
        </w:rPr>
        <w:t>份，甲方执</w:t>
      </w:r>
      <w:r>
        <w:rPr>
          <w:rFonts w:hint="eastAsia" w:ascii="仿宋_GB2312" w:hAnsi="仿宋_GB2312" w:eastAsia="仿宋_GB2312" w:cs="仿宋_GB2312"/>
          <w:sz w:val="32"/>
          <w:szCs w:val="32"/>
          <w:u w:val="single"/>
          <w:lang w:val="en-US" w:eastAsia="zh-CN"/>
        </w:rPr>
        <w:t>伍</w:t>
      </w:r>
      <w:r>
        <w:rPr>
          <w:rFonts w:ascii="仿宋_GB2312" w:hAnsi="仿宋_GB2312" w:eastAsia="仿宋_GB2312" w:cs="仿宋_GB2312"/>
          <w:sz w:val="32"/>
          <w:szCs w:val="32"/>
        </w:rPr>
        <w:t>份，乙方执</w:t>
      </w:r>
      <w:r>
        <w:rPr>
          <w:rFonts w:ascii="仿宋_GB2312" w:hAnsi="仿宋_GB2312" w:eastAsia="仿宋_GB2312" w:cs="仿宋_GB2312"/>
          <w:sz w:val="32"/>
          <w:szCs w:val="32"/>
          <w:u w:val="single"/>
        </w:rPr>
        <w:t>叁</w:t>
      </w:r>
      <w:r>
        <w:rPr>
          <w:rFonts w:ascii="仿宋_GB2312" w:hAnsi="仿宋_GB2312" w:eastAsia="仿宋_GB2312" w:cs="仿宋_GB2312"/>
          <w:sz w:val="32"/>
          <w:szCs w:val="32"/>
        </w:rPr>
        <w:t>份，均具有同等法律效力。</w:t>
      </w:r>
    </w:p>
    <w:p w14:paraId="7CB06929">
      <w:pPr>
        <w:spacing w:line="560"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八、合同书签署</w:t>
      </w:r>
      <w:bookmarkEnd w:id="4"/>
    </w:p>
    <w:p w14:paraId="16BF37B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双方一致同意本合同上述条款。</w:t>
      </w:r>
    </w:p>
    <w:tbl>
      <w:tblPr>
        <w:tblStyle w:val="8"/>
        <w:tblW w:w="6832" w:type="dxa"/>
        <w:tblInd w:w="567" w:type="dxa"/>
        <w:tblLayout w:type="fixed"/>
        <w:tblCellMar>
          <w:top w:w="0" w:type="dxa"/>
          <w:left w:w="108" w:type="dxa"/>
          <w:bottom w:w="0" w:type="dxa"/>
          <w:right w:w="108" w:type="dxa"/>
        </w:tblCellMar>
      </w:tblPr>
      <w:tblGrid>
        <w:gridCol w:w="6832"/>
      </w:tblGrid>
      <w:tr w14:paraId="6D2ADA79">
        <w:tblPrEx>
          <w:tblCellMar>
            <w:top w:w="0" w:type="dxa"/>
            <w:left w:w="108" w:type="dxa"/>
            <w:bottom w:w="0" w:type="dxa"/>
            <w:right w:w="108" w:type="dxa"/>
          </w:tblCellMar>
        </w:tblPrEx>
        <w:trPr>
          <w:trHeight w:val="3529" w:hRule="atLeast"/>
        </w:trPr>
        <w:tc>
          <w:tcPr>
            <w:tcW w:w="6832" w:type="dxa"/>
            <w:tcMar>
              <w:top w:w="28" w:type="dxa"/>
              <w:left w:w="28" w:type="dxa"/>
              <w:bottom w:w="28" w:type="dxa"/>
              <w:right w:w="28" w:type="dxa"/>
            </w:tcMar>
          </w:tcPr>
          <w:p w14:paraId="40CA3297">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甲方：陕西省交通运输厅（盖章）</w:t>
            </w:r>
          </w:p>
          <w:p w14:paraId="28039809">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地址：西安市唐延路</w:t>
            </w:r>
          </w:p>
          <w:p w14:paraId="2CEC4832">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电话：029-88869067</w:t>
            </w:r>
          </w:p>
          <w:p w14:paraId="7F9A5F1B">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法定代表人/委托代理人：            </w:t>
            </w:r>
          </w:p>
          <w:p w14:paraId="16A8B250">
            <w:pPr>
              <w:spacing w:line="600" w:lineRule="exact"/>
              <w:rPr>
                <w:rFonts w:hint="eastAsia" w:ascii="仿宋_GB2312" w:hAnsi="仿宋_GB2312" w:eastAsia="仿宋_GB2312" w:cs="仿宋_GB2312"/>
                <w:sz w:val="32"/>
                <w:szCs w:val="32"/>
              </w:rPr>
            </w:pPr>
          </w:p>
          <w:p w14:paraId="603F90CF">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w:t>
            </w:r>
          </w:p>
          <w:p w14:paraId="415C2EB3">
            <w:pPr>
              <w:spacing w:line="600" w:lineRule="exact"/>
              <w:rPr>
                <w:rFonts w:hint="eastAsia" w:ascii="仿宋_GB2312" w:hAnsi="仿宋_GB2312" w:eastAsia="仿宋_GB2312" w:cs="仿宋_GB2312"/>
                <w:sz w:val="32"/>
                <w:szCs w:val="32"/>
              </w:rPr>
            </w:pPr>
          </w:p>
          <w:p w14:paraId="01A334BD">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      年      月     日</w:t>
            </w:r>
          </w:p>
        </w:tc>
      </w:tr>
      <w:tr w14:paraId="359DCE9C">
        <w:tblPrEx>
          <w:tblCellMar>
            <w:top w:w="0" w:type="dxa"/>
            <w:left w:w="108" w:type="dxa"/>
            <w:bottom w:w="0" w:type="dxa"/>
            <w:right w:w="108" w:type="dxa"/>
          </w:tblCellMar>
        </w:tblPrEx>
        <w:trPr>
          <w:trHeight w:val="3623" w:hRule="atLeast"/>
        </w:trPr>
        <w:tc>
          <w:tcPr>
            <w:tcW w:w="6832" w:type="dxa"/>
            <w:tcMar>
              <w:top w:w="28" w:type="dxa"/>
              <w:left w:w="28" w:type="dxa"/>
              <w:bottom w:w="28" w:type="dxa"/>
              <w:right w:w="28" w:type="dxa"/>
            </w:tcMar>
          </w:tcPr>
          <w:p w14:paraId="200C4D6B">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（盖章）</w:t>
            </w:r>
          </w:p>
          <w:p w14:paraId="1302D1D3">
            <w:pPr>
              <w:spacing w:line="60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val="en-US" w:eastAsia="zh-CN"/>
              </w:rPr>
              <w:t xml:space="preserve">    </w:t>
            </w:r>
          </w:p>
          <w:p w14:paraId="6E3837DC">
            <w:pPr>
              <w:spacing w:line="6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lang w:val="en-US" w:eastAsia="zh-CN"/>
              </w:rPr>
              <w:t xml:space="preserve"> </w:t>
            </w:r>
          </w:p>
          <w:p w14:paraId="7DC3D334">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法定代表人/委托代理人：            </w:t>
            </w:r>
          </w:p>
          <w:p w14:paraId="0FD1552A">
            <w:pPr>
              <w:spacing w:line="600" w:lineRule="exact"/>
              <w:rPr>
                <w:rFonts w:hint="eastAsia" w:ascii="仿宋_GB2312" w:hAnsi="仿宋_GB2312" w:eastAsia="仿宋_GB2312" w:cs="仿宋_GB2312"/>
                <w:sz w:val="32"/>
                <w:szCs w:val="32"/>
              </w:rPr>
            </w:pPr>
          </w:p>
          <w:p w14:paraId="5C8A5B77">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w:t>
            </w:r>
          </w:p>
          <w:p w14:paraId="27586485">
            <w:pPr>
              <w:spacing w:line="600" w:lineRule="exact"/>
              <w:rPr>
                <w:rFonts w:hint="eastAsia" w:ascii="仿宋_GB2312" w:hAnsi="仿宋_GB2312" w:eastAsia="仿宋_GB2312" w:cs="仿宋_GB2312"/>
                <w:sz w:val="32"/>
                <w:szCs w:val="32"/>
              </w:rPr>
            </w:pPr>
          </w:p>
          <w:p w14:paraId="42E3BB86">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      年      月     日</w:t>
            </w:r>
          </w:p>
        </w:tc>
      </w:tr>
    </w:tbl>
    <w:p w14:paraId="020C02BA">
      <w:pPr>
        <w:widowControl/>
        <w:autoSpaceDE w:val="0"/>
        <w:autoSpaceDN w:val="0"/>
        <w:spacing w:line="500" w:lineRule="exact"/>
        <w:textAlignment w:val="bottom"/>
        <w:rPr>
          <w:rFonts w:hint="eastAsia" w:ascii="仿宋_GB2312" w:hAnsi="仿宋_GB2312" w:eastAsia="仿宋_GB2312" w:cs="仿宋_GB2312"/>
          <w:sz w:val="32"/>
          <w:szCs w:val="32"/>
        </w:rPr>
      </w:pPr>
    </w:p>
    <w:sectPr>
      <w:footerReference r:id="rId6" w:type="default"/>
      <w:pgSz w:w="11906" w:h="16838"/>
      <w:pgMar w:top="1418" w:right="1418" w:bottom="1418" w:left="1418"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84538">
    <w:pPr>
      <w:pStyle w:val="6"/>
      <w:jc w:val="center"/>
      <w:rPr>
        <w:sz w:val="21"/>
      </w:rPr>
    </w:pPr>
  </w:p>
  <w:p w14:paraId="64E458D9">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8C7AC">
    <w:pPr>
      <w:pStyle w:val="6"/>
      <w:jc w:val="center"/>
      <w:rPr>
        <w:sz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6350">
                        <a:noFill/>
                      </a:ln>
                      <a:effectLst/>
                    </wps:spPr>
                    <wps:txbx>
                      <w:txbxContent>
                        <w:p w14:paraId="039704E8">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rvABY0QAAAAIBAAAPAAAAAAAAAAEAIAAAACIAAABkcnMvZG93bnJldi54bWxQ&#10;SwECFAAUAAAACACHTuJAyTKszTcCAABgBAAADgAAAAAAAAABACAAAAAgAQAAZHJzL2Uyb0RvYy54&#10;bWxQSwUGAAAAAAYABgBZAQAAyQUAAAAA&#10;">
              <v:fill on="f" focussize="0,0"/>
              <v:stroke on="f" weight="0.5pt"/>
              <v:imagedata o:title=""/>
              <o:lock v:ext="edit" aspectratio="f"/>
              <v:textbox inset="0mm,0mm,0mm,0mm" style="mso-fit-shape-to-text:t;">
                <w:txbxContent>
                  <w:p w14:paraId="039704E8">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4DB0E9AD">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iYmQ5YTgzZGJlZGZjODgzMThjNTc3NjVjODY0NTMifQ=="/>
  </w:docVars>
  <w:rsids>
    <w:rsidRoot w:val="00D23E40"/>
    <w:rsid w:val="00007ABC"/>
    <w:rsid w:val="000B5BB1"/>
    <w:rsid w:val="000C7312"/>
    <w:rsid w:val="000F23C5"/>
    <w:rsid w:val="001135E0"/>
    <w:rsid w:val="001444C0"/>
    <w:rsid w:val="00161781"/>
    <w:rsid w:val="00186121"/>
    <w:rsid w:val="002336C4"/>
    <w:rsid w:val="00272888"/>
    <w:rsid w:val="00284C7C"/>
    <w:rsid w:val="0029278B"/>
    <w:rsid w:val="002A06A6"/>
    <w:rsid w:val="002A58D1"/>
    <w:rsid w:val="002C480A"/>
    <w:rsid w:val="002D798E"/>
    <w:rsid w:val="002E2989"/>
    <w:rsid w:val="002F5987"/>
    <w:rsid w:val="00306457"/>
    <w:rsid w:val="00314C3F"/>
    <w:rsid w:val="0034201E"/>
    <w:rsid w:val="00355030"/>
    <w:rsid w:val="003C4174"/>
    <w:rsid w:val="004106FF"/>
    <w:rsid w:val="00410C88"/>
    <w:rsid w:val="004757E7"/>
    <w:rsid w:val="004967DA"/>
    <w:rsid w:val="004F63BF"/>
    <w:rsid w:val="004F7E8E"/>
    <w:rsid w:val="00506FDA"/>
    <w:rsid w:val="00522E41"/>
    <w:rsid w:val="005C1E37"/>
    <w:rsid w:val="005C7297"/>
    <w:rsid w:val="005F6CB2"/>
    <w:rsid w:val="005F7D7F"/>
    <w:rsid w:val="006116F2"/>
    <w:rsid w:val="00641744"/>
    <w:rsid w:val="00671AF5"/>
    <w:rsid w:val="00684ACC"/>
    <w:rsid w:val="00694BE5"/>
    <w:rsid w:val="006A480F"/>
    <w:rsid w:val="006E2089"/>
    <w:rsid w:val="006F2858"/>
    <w:rsid w:val="0071349F"/>
    <w:rsid w:val="00727872"/>
    <w:rsid w:val="0073546E"/>
    <w:rsid w:val="00737D1C"/>
    <w:rsid w:val="0076160E"/>
    <w:rsid w:val="00780C7B"/>
    <w:rsid w:val="007A1B01"/>
    <w:rsid w:val="007F7F41"/>
    <w:rsid w:val="008055CB"/>
    <w:rsid w:val="00817394"/>
    <w:rsid w:val="00852760"/>
    <w:rsid w:val="0088021D"/>
    <w:rsid w:val="008A5674"/>
    <w:rsid w:val="008D07B2"/>
    <w:rsid w:val="00915C16"/>
    <w:rsid w:val="009222E7"/>
    <w:rsid w:val="00923EC9"/>
    <w:rsid w:val="00987535"/>
    <w:rsid w:val="009B4136"/>
    <w:rsid w:val="009D718A"/>
    <w:rsid w:val="00A56553"/>
    <w:rsid w:val="00A74D79"/>
    <w:rsid w:val="00AD241F"/>
    <w:rsid w:val="00AD7E38"/>
    <w:rsid w:val="00AE20E9"/>
    <w:rsid w:val="00AE6CF9"/>
    <w:rsid w:val="00B07C51"/>
    <w:rsid w:val="00B361CF"/>
    <w:rsid w:val="00B84831"/>
    <w:rsid w:val="00B94E3F"/>
    <w:rsid w:val="00BE2815"/>
    <w:rsid w:val="00BF63C2"/>
    <w:rsid w:val="00C60536"/>
    <w:rsid w:val="00C93481"/>
    <w:rsid w:val="00CD0FC7"/>
    <w:rsid w:val="00D23E40"/>
    <w:rsid w:val="00D82E68"/>
    <w:rsid w:val="00DF1F12"/>
    <w:rsid w:val="00E30A9A"/>
    <w:rsid w:val="00E31242"/>
    <w:rsid w:val="00E34002"/>
    <w:rsid w:val="00E50729"/>
    <w:rsid w:val="00EC4788"/>
    <w:rsid w:val="00F60EB8"/>
    <w:rsid w:val="00F86A43"/>
    <w:rsid w:val="00FC284F"/>
    <w:rsid w:val="00FC542A"/>
    <w:rsid w:val="00FC5C41"/>
    <w:rsid w:val="00FE28BB"/>
    <w:rsid w:val="02930BD7"/>
    <w:rsid w:val="05394675"/>
    <w:rsid w:val="05624557"/>
    <w:rsid w:val="089D5EE4"/>
    <w:rsid w:val="08FE38A9"/>
    <w:rsid w:val="090E23D5"/>
    <w:rsid w:val="0AA00D5F"/>
    <w:rsid w:val="0C3974A4"/>
    <w:rsid w:val="0FBC5A14"/>
    <w:rsid w:val="20E46A84"/>
    <w:rsid w:val="2233326B"/>
    <w:rsid w:val="24656E16"/>
    <w:rsid w:val="2521599F"/>
    <w:rsid w:val="2DE13DBC"/>
    <w:rsid w:val="2FC117FE"/>
    <w:rsid w:val="322E5C7B"/>
    <w:rsid w:val="33295EAD"/>
    <w:rsid w:val="35B64582"/>
    <w:rsid w:val="39EF40B0"/>
    <w:rsid w:val="3FCD3C3D"/>
    <w:rsid w:val="407A598C"/>
    <w:rsid w:val="40C8298A"/>
    <w:rsid w:val="4DB47427"/>
    <w:rsid w:val="506D269C"/>
    <w:rsid w:val="51A36170"/>
    <w:rsid w:val="63606DE8"/>
    <w:rsid w:val="6A1A25B2"/>
    <w:rsid w:val="6D134908"/>
    <w:rsid w:val="6E463C07"/>
    <w:rsid w:val="6F564C0D"/>
    <w:rsid w:val="713D5492"/>
    <w:rsid w:val="71E87DA6"/>
    <w:rsid w:val="720D60FB"/>
    <w:rsid w:val="747C6BF4"/>
    <w:rsid w:val="7586318B"/>
    <w:rsid w:val="79E117B5"/>
    <w:rsid w:val="7B1A5DC9"/>
    <w:rsid w:val="7C150518"/>
    <w:rsid w:val="7C881DEE"/>
    <w:rsid w:val="7EC87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3"/>
    <w:qFormat/>
    <w:uiPriority w:val="0"/>
    <w:rPr>
      <w:color w:val="993300"/>
      <w:sz w:val="24"/>
    </w:rPr>
  </w:style>
  <w:style w:type="paragraph" w:styleId="5">
    <w:name w:val="annotation text"/>
    <w:basedOn w:val="1"/>
    <w:qFormat/>
    <w:uiPriority w:val="0"/>
    <w:pPr>
      <w:jc w:val="left"/>
    </w:pPr>
  </w:style>
  <w:style w:type="paragraph" w:styleId="6">
    <w:name w:val="footer"/>
    <w:basedOn w:val="1"/>
    <w:link w:val="15"/>
    <w:unhideWhenUsed/>
    <w:qFormat/>
    <w:uiPriority w:val="99"/>
    <w:pPr>
      <w:tabs>
        <w:tab w:val="center" w:pos="4153"/>
        <w:tab w:val="right" w:pos="8306"/>
      </w:tabs>
      <w:snapToGrid w:val="0"/>
      <w:spacing w:line="240" w:lineRule="auto"/>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10">
    <w:name w:val="Strong"/>
    <w:basedOn w:val="9"/>
    <w:qFormat/>
    <w:uiPriority w:val="22"/>
    <w:rPr>
      <w:b/>
    </w:rPr>
  </w:style>
  <w:style w:type="paragraph" w:customStyle="1" w:styleId="11">
    <w:name w:val="列出段落1"/>
    <w:basedOn w:val="1"/>
    <w:qFormat/>
    <w:uiPriority w:val="34"/>
    <w:pPr>
      <w:ind w:firstLine="420" w:firstLineChars="200"/>
    </w:pPr>
  </w:style>
  <w:style w:type="character" w:customStyle="1" w:styleId="12">
    <w:name w:val="标题 1 字符"/>
    <w:basedOn w:val="9"/>
    <w:link w:val="3"/>
    <w:qFormat/>
    <w:uiPriority w:val="9"/>
    <w:rPr>
      <w:b/>
      <w:bCs/>
      <w:kern w:val="44"/>
      <w:sz w:val="44"/>
      <w:szCs w:val="44"/>
    </w:rPr>
  </w:style>
  <w:style w:type="character" w:customStyle="1" w:styleId="13">
    <w:name w:val="正文文本 字符"/>
    <w:basedOn w:val="9"/>
    <w:link w:val="2"/>
    <w:qFormat/>
    <w:uiPriority w:val="0"/>
    <w:rPr>
      <w:rFonts w:ascii="Times New Roman" w:hAnsi="Times New Roman" w:eastAsia="宋体" w:cs="Times New Roman"/>
      <w:color w:val="993300"/>
      <w:sz w:val="24"/>
      <w:szCs w:val="24"/>
    </w:rPr>
  </w:style>
  <w:style w:type="character" w:customStyle="1" w:styleId="14">
    <w:name w:val="页眉 字符"/>
    <w:basedOn w:val="9"/>
    <w:link w:val="7"/>
    <w:qFormat/>
    <w:uiPriority w:val="99"/>
    <w:rPr>
      <w:rFonts w:ascii="Times New Roman" w:hAnsi="Times New Roman" w:eastAsia="宋体" w:cs="Times New Roman"/>
      <w:sz w:val="18"/>
      <w:szCs w:val="18"/>
    </w:rPr>
  </w:style>
  <w:style w:type="character" w:customStyle="1" w:styleId="15">
    <w:name w:val="页脚 字符"/>
    <w:basedOn w:val="9"/>
    <w:link w:val="6"/>
    <w:qFormat/>
    <w:uiPriority w:val="99"/>
    <w:rPr>
      <w:rFonts w:ascii="Times New Roman" w:hAnsi="Times New Roman" w:eastAsia="宋体" w:cs="Times New Roman"/>
      <w:sz w:val="18"/>
      <w:szCs w:val="18"/>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陕西省公路学会</Company>
  <Pages>6</Pages>
  <Words>1648</Words>
  <Characters>1700</Characters>
  <Lines>73</Lines>
  <Paragraphs>76</Paragraphs>
  <TotalTime>84</TotalTime>
  <ScaleCrop>false</ScaleCrop>
  <LinksUpToDate>false</LinksUpToDate>
  <CharactersWithSpaces>1834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2025-06-12T02:42:00Z</dcterms:created>
  <dc:creator>NTKO</dc:creator>
  <cp:lastModifiedBy>核桃树²⁰¹⁸₀₆.₁₈</cp:lastModifiedBy>
  <cp:lastPrinted>2024-06-28T01:14:00Z</cp:lastPrinted>
  <dcterms:modified xsi:type="dcterms:W3CDTF">2026-05-29T12:31:48Z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914F8DBE873E40B8B26A2E329F5949E0_13</vt:lpwstr>
  </property>
  <property fmtid="{D5CDD505-2E9C-101B-9397-08002B2CF9AE}" pid="4" name="KSOTemplateDocerSaveRecord">
    <vt:lpwstr>eyJoZGlkIjoiZTI0MTdlNGY1OGNhMTcyNTBjMDcwMGY3MGY0NTRjNzQiLCJ1c2VySWQiOiI1NTkzNTE2ODcifQ==</vt:lpwstr>
  </property>
</Properties>
</file>